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40B7" w14:textId="58B752B4" w:rsidR="0015131D" w:rsidRPr="008414A3" w:rsidRDefault="008C125B" w:rsidP="0015131D">
      <w:pPr>
        <w:rPr>
          <w:rFonts w:ascii="Calibri" w:hAnsi="Calibri" w:cs="Calibri"/>
          <w:color w:val="000000"/>
          <w:sz w:val="36"/>
          <w:szCs w:val="36"/>
        </w:rPr>
      </w:pPr>
      <w:r w:rsidRPr="008C125B">
        <w:rPr>
          <w:rFonts w:ascii="Calibri" w:hAnsi="Calibri" w:cs="Calibri"/>
          <w:color w:val="000000"/>
          <w:sz w:val="36"/>
          <w:szCs w:val="36"/>
          <w:highlight w:val="lightGray"/>
        </w:rPr>
        <w:t>Проекты коммуникаций</w:t>
      </w:r>
    </w:p>
    <w:p w14:paraId="587B9D3F" w14:textId="77777777" w:rsidR="0015131D" w:rsidRPr="008414A3" w:rsidRDefault="0015131D" w:rsidP="0015131D">
      <w:pPr>
        <w:rPr>
          <w:rFonts w:ascii="Calibri" w:hAnsi="Calibri" w:cs="Calibri"/>
          <w:color w:val="000000"/>
          <w:szCs w:val="32"/>
        </w:rPr>
      </w:pPr>
      <w:r w:rsidRPr="008414A3">
        <w:rPr>
          <w:rFonts w:ascii="Calibri" w:hAnsi="Calibri" w:cs="Calibri"/>
          <w:color w:val="000000"/>
          <w:szCs w:val="32"/>
        </w:rPr>
        <w:t>(водосток, канализация, дренаж, водопровод, газопровод, теплосеть, общий коллектор, кабельный коллектор, телефонная канализация, эл. кабели, кабели МЭТ, АСУДД и др. трубопроводы и кабели.)</w:t>
      </w:r>
    </w:p>
    <w:p w14:paraId="6675156E" w14:textId="656B8325" w:rsidR="00A6174C" w:rsidRPr="008C125B" w:rsidRDefault="00A6174C" w:rsidP="00A6174C">
      <w:pPr>
        <w:rPr>
          <w:b/>
          <w:sz w:val="28"/>
        </w:rPr>
      </w:pPr>
      <w:r w:rsidRPr="008C125B">
        <w:rPr>
          <w:b/>
          <w:sz w:val="28"/>
        </w:rPr>
        <w:t>Полный пакет документации по проектам стройгенпланов</w:t>
      </w:r>
      <w:r w:rsidR="008C125B" w:rsidRPr="008C125B">
        <w:rPr>
          <w:b/>
          <w:sz w:val="28"/>
        </w:rPr>
        <w:t xml:space="preserve"> включает</w:t>
      </w:r>
      <w:r w:rsidRPr="008C125B">
        <w:rPr>
          <w:b/>
          <w:sz w:val="28"/>
        </w:rPr>
        <w:t>:</w:t>
      </w:r>
    </w:p>
    <w:p w14:paraId="70CDC661" w14:textId="50E07BE4" w:rsidR="008C125B" w:rsidRPr="008C125B" w:rsidRDefault="008C125B" w:rsidP="008C125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План инженерных коммуникаций</w:t>
      </w:r>
    </w:p>
    <w:p w14:paraId="30CA5B4B" w14:textId="115AF16F" w:rsidR="008C125B" w:rsidRPr="008C125B" w:rsidRDefault="0015131D" w:rsidP="008C125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 w:rsidRPr="008C125B">
        <w:rPr>
          <w:rFonts w:ascii="Calibri" w:hAnsi="Calibri" w:cs="Calibri"/>
        </w:rPr>
        <w:t>П</w:t>
      </w:r>
      <w:r w:rsidR="008C125B">
        <w:rPr>
          <w:rFonts w:ascii="Calibri" w:hAnsi="Calibri" w:cs="Calibri"/>
        </w:rPr>
        <w:t>родольные профили</w:t>
      </w:r>
    </w:p>
    <w:p w14:paraId="4DFADAF5" w14:textId="6B7A0301" w:rsidR="008C125B" w:rsidRPr="008C125B" w:rsidRDefault="008C125B" w:rsidP="008C125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Стройгенплан</w:t>
      </w:r>
    </w:p>
    <w:p w14:paraId="6A91AAD2" w14:textId="62D9C33D" w:rsidR="008C125B" w:rsidRPr="008C125B" w:rsidRDefault="008C125B" w:rsidP="008C125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чертежи</w:t>
      </w:r>
    </w:p>
    <w:p w14:paraId="417DB86F" w14:textId="0B48992A" w:rsidR="008C125B" w:rsidRPr="008C125B" w:rsidRDefault="0015131D" w:rsidP="008C125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 w:rsidRPr="008C125B">
        <w:rPr>
          <w:rFonts w:ascii="Calibri" w:hAnsi="Calibri" w:cs="Calibri"/>
        </w:rPr>
        <w:t>Ведомость объемов работ</w:t>
      </w:r>
    </w:p>
    <w:p w14:paraId="09DF8892" w14:textId="5E434E6F" w:rsidR="008C125B" w:rsidRDefault="008C125B" w:rsidP="008C125B">
      <w:pPr>
        <w:pStyle w:val="a3"/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 w:rsidRPr="008C125B">
        <w:rPr>
          <w:rFonts w:ascii="Calibri" w:hAnsi="Calibri" w:cs="Calibri"/>
        </w:rPr>
        <w:t>Дополнительные рекомендуемые материалы</w:t>
      </w:r>
      <w:r>
        <w:rPr>
          <w:rFonts w:ascii="Calibri" w:hAnsi="Calibri" w:cs="Calibri"/>
        </w:rPr>
        <w:t>.</w:t>
      </w:r>
    </w:p>
    <w:p w14:paraId="6A411804" w14:textId="77777777" w:rsidR="008C125B" w:rsidRPr="008C125B" w:rsidRDefault="008C125B" w:rsidP="008C125B">
      <w:pPr>
        <w:pStyle w:val="a3"/>
        <w:spacing w:after="0" w:line="240" w:lineRule="auto"/>
        <w:rPr>
          <w:rFonts w:ascii="Calibri" w:hAnsi="Calibri" w:cs="Calibri"/>
        </w:rPr>
      </w:pPr>
    </w:p>
    <w:p w14:paraId="679D7B33" w14:textId="3A7CE87B" w:rsidR="009E12F0" w:rsidRPr="008C125B" w:rsidRDefault="008C125B" w:rsidP="009E12F0">
      <w:pPr>
        <w:rPr>
          <w:rFonts w:ascii="Calibri" w:hAnsi="Calibri" w:cs="Calibri"/>
        </w:rPr>
      </w:pPr>
      <w:r>
        <w:rPr>
          <w:rFonts w:ascii="Calibri" w:hAnsi="Calibri" w:cs="Calibri"/>
        </w:rPr>
        <w:t>Подробные р</w:t>
      </w:r>
      <w:r w:rsidRPr="008C125B">
        <w:rPr>
          <w:rFonts w:ascii="Calibri" w:hAnsi="Calibri" w:cs="Calibri"/>
        </w:rPr>
        <w:t>екомендации по подготовке документов приводятся ниже.</w:t>
      </w:r>
    </w:p>
    <w:p w14:paraId="0F33837A" w14:textId="77777777" w:rsidR="008C125B" w:rsidRDefault="008C125B" w:rsidP="008C125B">
      <w:pPr>
        <w:spacing w:after="0"/>
        <w:rPr>
          <w:b/>
          <w:sz w:val="28"/>
        </w:rPr>
      </w:pPr>
      <w:bookmarkStart w:id="0" w:name="_GoBack"/>
      <w:bookmarkEnd w:id="0"/>
    </w:p>
    <w:p w14:paraId="2D205E69" w14:textId="38E6F436" w:rsidR="008C125B" w:rsidRPr="00367885" w:rsidRDefault="008C125B" w:rsidP="008C125B">
      <w:pPr>
        <w:spacing w:after="0"/>
        <w:rPr>
          <w:b/>
          <w:sz w:val="28"/>
        </w:rPr>
      </w:pPr>
      <w:r w:rsidRPr="00367885">
        <w:rPr>
          <w:b/>
          <w:sz w:val="28"/>
        </w:rPr>
        <w:t>Общие рекомендации к подготовке файлов</w:t>
      </w:r>
    </w:p>
    <w:p w14:paraId="4DD2B816" w14:textId="77777777" w:rsidR="008C125B" w:rsidRPr="00006F0B" w:rsidRDefault="008C125B" w:rsidP="008C125B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Файлы следует прикреплять в соответствующие одноимённые разделы интерактивной формы заявки. </w:t>
      </w:r>
    </w:p>
    <w:p w14:paraId="27ED0AF2" w14:textId="77777777" w:rsidR="008C125B" w:rsidRPr="00006F0B" w:rsidRDefault="008C125B" w:rsidP="008C125B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Все файлы проекта должны иметь ориентацию ИТП относительно рамки листа проекта север-юг.</w:t>
      </w:r>
    </w:p>
    <w:p w14:paraId="4BC9AF6B" w14:textId="77777777" w:rsidR="008C125B" w:rsidRPr="00006F0B" w:rsidRDefault="008C125B" w:rsidP="008C125B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При формировании PDF файлов «подложка» должна соответствовать размерам рамок чертежей.</w:t>
      </w:r>
    </w:p>
    <w:p w14:paraId="135B7CFB" w14:textId="77777777" w:rsidR="008C125B" w:rsidRPr="00006F0B" w:rsidRDefault="008C125B" w:rsidP="008C125B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Все файлы проекта должны иметь разрешение не менее 300 точек на дюйм. </w:t>
      </w:r>
    </w:p>
    <w:p w14:paraId="37D66C3F" w14:textId="77777777" w:rsidR="008C125B" w:rsidRPr="00006F0B" w:rsidRDefault="008C125B" w:rsidP="008C125B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PDF файлы формировать непосредственно из программы для черчения (AutoCAD или другой программы), а не путем сканирования бумажного носителя.</w:t>
      </w:r>
    </w:p>
    <w:p w14:paraId="76A0476C" w14:textId="77777777" w:rsidR="00A6174C" w:rsidRPr="00A6174C" w:rsidRDefault="00A6174C" w:rsidP="009E12F0">
      <w:pPr>
        <w:rPr>
          <w:i/>
          <w:highlight w:val="yellow"/>
        </w:rPr>
      </w:pPr>
    </w:p>
    <w:p w14:paraId="76BCBCC2" w14:textId="36253E29" w:rsidR="0015131D" w:rsidRPr="008C125B" w:rsidRDefault="008C125B" w:rsidP="008C125B">
      <w:pPr>
        <w:pStyle w:val="2"/>
        <w:spacing w:line="240" w:lineRule="auto"/>
        <w:ind w:left="0"/>
        <w:jc w:val="both"/>
        <w:rPr>
          <w:rFonts w:ascii="Calibri" w:eastAsiaTheme="minorHAnsi" w:hAnsi="Calibri" w:cs="Calibri"/>
          <w:b/>
          <w:szCs w:val="22"/>
          <w:lang w:eastAsia="en-US"/>
        </w:rPr>
      </w:pPr>
      <w:r w:rsidRPr="00367885">
        <w:rPr>
          <w:rFonts w:ascii="Calibri" w:eastAsiaTheme="minorHAnsi" w:hAnsi="Calibri" w:cs="Calibri"/>
          <w:b/>
          <w:szCs w:val="22"/>
          <w:lang w:eastAsia="en-US"/>
        </w:rPr>
        <w:t xml:space="preserve">Рекомендации к подготовке </w:t>
      </w:r>
      <w:r>
        <w:rPr>
          <w:rFonts w:ascii="Calibri" w:eastAsiaTheme="minorHAnsi" w:hAnsi="Calibri" w:cs="Calibri"/>
          <w:b/>
          <w:szCs w:val="22"/>
          <w:lang w:eastAsia="en-US"/>
        </w:rPr>
        <w:t>проектов инженерных коммуникаций</w:t>
      </w:r>
      <w:r w:rsidRPr="00367885">
        <w:rPr>
          <w:rFonts w:ascii="Calibri" w:eastAsiaTheme="minorHAnsi" w:hAnsi="Calibri" w:cs="Calibri"/>
          <w:b/>
          <w:szCs w:val="22"/>
          <w:lang w:eastAsia="en-US"/>
        </w:rPr>
        <w:t>:</w:t>
      </w:r>
    </w:p>
    <w:p w14:paraId="11BA4EC0" w14:textId="7777777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</w:p>
    <w:p w14:paraId="685A7B63" w14:textId="4D1E9188" w:rsidR="008C125B" w:rsidRP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 w:rsidRPr="008C125B">
        <w:rPr>
          <w:rFonts w:ascii="Calibri" w:hAnsi="Calibri" w:cs="Calibri"/>
          <w:b/>
        </w:rPr>
        <w:t>План инженерных коммуникаций</w:t>
      </w:r>
    </w:p>
    <w:p w14:paraId="41A244AE" w14:textId="4DCE6902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Проекты инженерных коммуникаций выполняются на инженерно-топографическом плане (ИТП) масштаба 1:500, 1:200, срок действия которых – не более 3 лет (п.1.4 Приложения 1 к постановлению Правительства Москвы №284-ПП от 19 мая 2015 г.).</w:t>
      </w:r>
    </w:p>
    <w:p w14:paraId="093197C3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Проекты выполняются строго в границах ИТП с обязательным выводом границ заказов на план.</w:t>
      </w:r>
    </w:p>
    <w:p w14:paraId="4E97D16E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При формировании проектных материалов должно быть обеспечено соблюдение масштаба ИТП, указанного в штампе заказа и отображение, в том числе:</w:t>
      </w:r>
    </w:p>
    <w:p w14:paraId="314A4EA4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- штампа организации, выполнявшей инженерно-геодезические изыскания;</w:t>
      </w:r>
    </w:p>
    <w:p w14:paraId="0AB7AFB7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- геодезической сетки (для М 1:500, 1:200 -10х10 см. между крестами);</w:t>
      </w:r>
    </w:p>
    <w:p w14:paraId="43DCB38E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- штампа Москомархитектуры, подтверждающего приемку материалов инженерных изысканий.</w:t>
      </w:r>
    </w:p>
    <w:p w14:paraId="04E131A5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ИТП должен быть в черно-белом цвете. Проектируемые объекты должны быть отображены на ИТП в цвете и соответствовать объёмам, указанным в заявке.</w:t>
      </w:r>
    </w:p>
    <w:p w14:paraId="4E3A3F5D" w14:textId="77777777" w:rsidR="0015131D" w:rsidRPr="008C125B" w:rsidRDefault="0015131D" w:rsidP="0015131D">
      <w:pPr>
        <w:spacing w:after="120"/>
        <w:jc w:val="both"/>
        <w:rPr>
          <w:rFonts w:ascii="Calibri" w:hAnsi="Calibri" w:cs="Calibri"/>
        </w:rPr>
      </w:pPr>
      <w:r w:rsidRPr="008C125B">
        <w:rPr>
          <w:rFonts w:ascii="Calibri" w:hAnsi="Calibri" w:cs="Calibri"/>
        </w:rPr>
        <w:t>На всех листах планов должны быть указаны линии сводки со смежными листами и номера стыкуемых листов</w:t>
      </w:r>
    </w:p>
    <w:p w14:paraId="2B9DA402" w14:textId="77777777" w:rsidR="0015131D" w:rsidRPr="008C125B" w:rsidRDefault="0015131D" w:rsidP="0015131D">
      <w:pPr>
        <w:spacing w:after="120"/>
        <w:jc w:val="both"/>
        <w:rPr>
          <w:rFonts w:ascii="Calibri" w:hAnsi="Calibri" w:cs="Calibri"/>
        </w:rPr>
      </w:pPr>
      <w:r w:rsidRPr="008C125B">
        <w:rPr>
          <w:rFonts w:ascii="Calibri" w:hAnsi="Calibri" w:cs="Calibri"/>
        </w:rPr>
        <w:t>(листы планов должны стыковаться по крестам координатной сетки и линиям сводки).</w:t>
      </w:r>
    </w:p>
    <w:p w14:paraId="59A9B6AB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lastRenderedPageBreak/>
        <w:t>Все листы планов должны быть оформлены штампами проектной организации установленного образца (в соответствие ГОСТ Р21.1101-2013).</w:t>
      </w:r>
    </w:p>
    <w:p w14:paraId="2BB69369" w14:textId="00E7FD9D" w:rsidR="0015131D" w:rsidRPr="008C125B" w:rsidRDefault="0015131D" w:rsidP="008C125B">
      <w:pPr>
        <w:pStyle w:val="2"/>
        <w:spacing w:afterLines="120" w:after="288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На листах планов должен быть текст, подтверждающий</w:t>
      </w:r>
      <w:r w:rsidRPr="008C125B">
        <w:rPr>
          <w:rFonts w:ascii="Calibri" w:hAnsi="Calibri" w:cs="Calibri"/>
          <w:color w:val="33CCCC"/>
          <w:sz w:val="22"/>
          <w:szCs w:val="22"/>
        </w:rPr>
        <w:t xml:space="preserve"> </w:t>
      </w:r>
      <w:r w:rsidRPr="008C125B">
        <w:rPr>
          <w:rFonts w:ascii="Calibri" w:hAnsi="Calibri" w:cs="Calibri"/>
          <w:sz w:val="22"/>
          <w:szCs w:val="22"/>
        </w:rPr>
        <w:t>выполнение проекта в соответствии с действующими нормативными документами и техническим условиям. Текст подписывает автор проекта.</w:t>
      </w:r>
    </w:p>
    <w:p w14:paraId="1641DDE4" w14:textId="77777777" w:rsidR="0015131D" w:rsidRPr="008C125B" w:rsidRDefault="0015131D" w:rsidP="0015131D">
      <w:pPr>
        <w:pStyle w:val="2"/>
        <w:spacing w:afterLines="120" w:after="288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На плане в соответствии с условными обозначениями должны быть нанесены проектируемые инженерные коммуникации.</w:t>
      </w:r>
    </w:p>
    <w:p w14:paraId="77EA36E3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В случае разделения проекта на этапы или внеплощадочные и внутриплощадочные сети на выноске указывается «далее по проекту внеплощадочных, внутриплощадочных сетей» с указанием проектной организации или предоставлением договора технологического присоединения.</w:t>
      </w:r>
    </w:p>
    <w:p w14:paraId="6F48921B" w14:textId="77777777" w:rsidR="0015131D" w:rsidRPr="008C125B" w:rsidRDefault="0015131D" w:rsidP="0015131D">
      <w:pPr>
        <w:pStyle w:val="2"/>
        <w:spacing w:after="0" w:line="24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C125B">
        <w:rPr>
          <w:rFonts w:ascii="Calibri" w:hAnsi="Calibri" w:cs="Calibri"/>
          <w:b/>
          <w:sz w:val="22"/>
          <w:szCs w:val="22"/>
        </w:rPr>
        <w:t>На планах указываются характеристики проектируемых коммуникаций:</w:t>
      </w:r>
    </w:p>
    <w:p w14:paraId="4E1A0886" w14:textId="77777777" w:rsidR="0015131D" w:rsidRPr="008C125B" w:rsidRDefault="0015131D" w:rsidP="0015131D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диаметры проектируемой коммуникации;</w:t>
      </w:r>
    </w:p>
    <w:p w14:paraId="57C5DA1D" w14:textId="77777777" w:rsidR="0015131D" w:rsidRPr="008C125B" w:rsidRDefault="0015131D" w:rsidP="0015131D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количество отверстий (труб) телефонной канализации;</w:t>
      </w:r>
    </w:p>
    <w:p w14:paraId="5C4D77C7" w14:textId="77777777" w:rsidR="0015131D" w:rsidRPr="008C125B" w:rsidRDefault="0015131D" w:rsidP="0015131D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количество и марка кабелей;</w:t>
      </w:r>
    </w:p>
    <w:p w14:paraId="22F9070E" w14:textId="77777777" w:rsidR="0015131D" w:rsidRPr="008C125B" w:rsidRDefault="0015131D" w:rsidP="0015131D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проектные муфты (для кабелей);</w:t>
      </w:r>
    </w:p>
    <w:p w14:paraId="46905DEE" w14:textId="77777777" w:rsidR="0015131D" w:rsidRPr="008C125B" w:rsidRDefault="0015131D" w:rsidP="0015131D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обоймы и футляры с указанием диаметров, длин на выносках;</w:t>
      </w:r>
    </w:p>
    <w:p w14:paraId="5CAB83D4" w14:textId="72E0C381" w:rsidR="008C125B" w:rsidRPr="008C125B" w:rsidRDefault="0015131D" w:rsidP="008C125B">
      <w:pPr>
        <w:pStyle w:val="2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способ прокладки коммуникации (ГНБ, микротоннелирование, продавливание, шнековое бурение, пневмопробойник).</w:t>
      </w:r>
    </w:p>
    <w:p w14:paraId="7F6E12A5" w14:textId="15F1147C" w:rsidR="0015131D" w:rsidRPr="008C125B" w:rsidRDefault="0015131D" w:rsidP="0015131D">
      <w:pPr>
        <w:pStyle w:val="2"/>
        <w:spacing w:afterLines="120" w:after="288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Проекты коммуникаций, профили закрытых переходов кабельных трасс, размещение ТП, РП, РТП, БРП, БКТП должны быть утверждены эксплуатирующей организацией.</w:t>
      </w:r>
    </w:p>
    <w:p w14:paraId="328A3B03" w14:textId="7777777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 w:rsidRPr="008C125B">
        <w:rPr>
          <w:rFonts w:ascii="Calibri" w:hAnsi="Calibri" w:cs="Calibri"/>
          <w:b/>
        </w:rPr>
        <w:t xml:space="preserve">2. </w:t>
      </w:r>
      <w:r w:rsidRPr="008C125B">
        <w:rPr>
          <w:rFonts w:ascii="Calibri" w:hAnsi="Calibri" w:cs="Calibri"/>
          <w:b/>
        </w:rPr>
        <w:t>Продольные профили.</w:t>
      </w:r>
    </w:p>
    <w:p w14:paraId="6AE24D7A" w14:textId="77777777" w:rsidR="008C125B" w:rsidRDefault="008C125B" w:rsidP="008C125B">
      <w:pPr>
        <w:spacing w:after="0" w:line="240" w:lineRule="auto"/>
        <w:rPr>
          <w:rFonts w:ascii="Calibri" w:hAnsi="Calibri" w:cs="Calibri"/>
        </w:rPr>
      </w:pPr>
      <w:r w:rsidRPr="008C125B">
        <w:rPr>
          <w:rFonts w:ascii="Calibri" w:hAnsi="Calibri" w:cs="Calibri"/>
        </w:rPr>
        <w:t>При использовании бестраншейных способов прокладки выполняются в масштабах:</w:t>
      </w:r>
    </w:p>
    <w:p w14:paraId="56E035A2" w14:textId="4FC59B44" w:rsidR="008C125B" w:rsidRP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 w:rsidRPr="008C125B">
        <w:rPr>
          <w:rFonts w:ascii="Calibri" w:hAnsi="Calibri" w:cs="Calibri"/>
        </w:rPr>
        <w:t>вертикальный – М 1:100, горизонтальный – М 1:100 (представляются отдельными листами).</w:t>
      </w:r>
    </w:p>
    <w:p w14:paraId="3CCE3DA0" w14:textId="0914E1B1" w:rsidR="0015131D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6D6DEDA" w14:textId="2902E0E5" w:rsidR="0015131D" w:rsidRP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 w:rsidRPr="008C125B">
        <w:rPr>
          <w:rFonts w:ascii="Calibri" w:hAnsi="Calibri" w:cs="Calibri"/>
          <w:b/>
        </w:rPr>
        <w:t>3</w:t>
      </w:r>
      <w:r w:rsidRPr="008C125B">
        <w:rPr>
          <w:rFonts w:ascii="Calibri" w:hAnsi="Calibri" w:cs="Calibri"/>
          <w:b/>
        </w:rPr>
        <w:t xml:space="preserve">. </w:t>
      </w:r>
      <w:r w:rsidR="0015131D" w:rsidRPr="008C125B">
        <w:rPr>
          <w:rFonts w:ascii="Calibri" w:hAnsi="Calibri" w:cs="Calibri"/>
          <w:b/>
        </w:rPr>
        <w:t xml:space="preserve">Стройгенплан </w:t>
      </w:r>
    </w:p>
    <w:p w14:paraId="6735F9F4" w14:textId="26891295" w:rsidR="0015131D" w:rsidRPr="008C125B" w:rsidRDefault="0015131D" w:rsidP="008C125B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Стройгенплан для прокладки коммуникаций, кабельных линий 110кв, 220кв, 500кв, кабельной канализации, ЦТП, ТП, РП, РТП, БРП, БКТП, очистных сооружений, КНС, НС, ГРП, ГРПШ.</w:t>
      </w:r>
    </w:p>
    <w:p w14:paraId="1CC2F0B7" w14:textId="77777777" w:rsidR="0015131D" w:rsidRPr="008C125B" w:rsidRDefault="0015131D" w:rsidP="008C125B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Выполняется на ИТП в масштабе 1:500, 1:200 с обязательным выводом:</w:t>
      </w:r>
    </w:p>
    <w:p w14:paraId="7D99659B" w14:textId="77777777" w:rsidR="0015131D" w:rsidRPr="008C125B" w:rsidRDefault="0015131D" w:rsidP="0015131D">
      <w:pPr>
        <w:pStyle w:val="2"/>
        <w:numPr>
          <w:ilvl w:val="0"/>
          <w:numId w:val="15"/>
        </w:numPr>
        <w:spacing w:after="0"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штампа организации, выполнявшей инженерно-геодезические изыскания;</w:t>
      </w:r>
    </w:p>
    <w:p w14:paraId="00DBF64E" w14:textId="77777777" w:rsidR="0015131D" w:rsidRPr="008C125B" w:rsidRDefault="0015131D" w:rsidP="0015131D">
      <w:pPr>
        <w:pStyle w:val="2"/>
        <w:numPr>
          <w:ilvl w:val="0"/>
          <w:numId w:val="15"/>
        </w:numPr>
        <w:spacing w:after="0"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геодезической сетки (для М 1:500, 1:200 -10х10 см. между крестами);</w:t>
      </w:r>
    </w:p>
    <w:p w14:paraId="1184BFB8" w14:textId="77777777" w:rsidR="0015131D" w:rsidRPr="008C125B" w:rsidRDefault="0015131D" w:rsidP="0015131D">
      <w:pPr>
        <w:pStyle w:val="2"/>
        <w:numPr>
          <w:ilvl w:val="0"/>
          <w:numId w:val="15"/>
        </w:numPr>
        <w:spacing w:after="0"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штампа Москомархитектуры, подтверждающего приемку материалов инженерных изысканий.</w:t>
      </w:r>
    </w:p>
    <w:p w14:paraId="2CBB9DDC" w14:textId="77777777" w:rsidR="0015131D" w:rsidRPr="008C125B" w:rsidRDefault="0015131D" w:rsidP="008C125B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Стройгенплан выполняется на черно-белом ИТП с отображением в цвете проектируемых элементов, в соответствии с условными обозначениями:</w:t>
      </w:r>
    </w:p>
    <w:p w14:paraId="34A3BFC0" w14:textId="77777777" w:rsidR="0015131D" w:rsidRPr="008C125B" w:rsidRDefault="0015131D" w:rsidP="0015131D">
      <w:pPr>
        <w:pStyle w:val="2"/>
        <w:numPr>
          <w:ilvl w:val="0"/>
          <w:numId w:val="16"/>
        </w:numPr>
        <w:spacing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ограждение зоны работ, бытовые городки, временные дороги, складирование, мойка колес;</w:t>
      </w:r>
    </w:p>
    <w:p w14:paraId="08FFFB23" w14:textId="77777777" w:rsidR="0015131D" w:rsidRPr="008C125B" w:rsidRDefault="0015131D" w:rsidP="0015131D">
      <w:pPr>
        <w:pStyle w:val="2"/>
        <w:numPr>
          <w:ilvl w:val="0"/>
          <w:numId w:val="16"/>
        </w:numPr>
        <w:spacing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границы разрытия, сечения по траншеям с указанием способов крепления стенок траншеи при открытой прокладке;</w:t>
      </w:r>
    </w:p>
    <w:p w14:paraId="5F522965" w14:textId="77777777" w:rsidR="0015131D" w:rsidRPr="008C125B" w:rsidRDefault="0015131D" w:rsidP="0015131D">
      <w:pPr>
        <w:pStyle w:val="2"/>
        <w:numPr>
          <w:ilvl w:val="0"/>
          <w:numId w:val="16"/>
        </w:numPr>
        <w:spacing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оси проектируемых ТП, РП, РТП, БРП, БКТП, очистных сооружений, КНС, НС, ГРП, ГРПШ и габаритные размеры;</w:t>
      </w:r>
    </w:p>
    <w:p w14:paraId="6E0AE84F" w14:textId="77777777" w:rsidR="0015131D" w:rsidRPr="008C125B" w:rsidRDefault="0015131D" w:rsidP="0015131D">
      <w:pPr>
        <w:pStyle w:val="2"/>
        <w:numPr>
          <w:ilvl w:val="0"/>
          <w:numId w:val="16"/>
        </w:numPr>
        <w:spacing w:line="240" w:lineRule="auto"/>
        <w:ind w:left="2552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рабочие и приемные котлованы, монтажные шахты с указанием габаритов и глубины при закрытых прокладках (ГНБ, микротоннелирование, продавливание, шнековое бурение, пневмопробойник);</w:t>
      </w:r>
    </w:p>
    <w:p w14:paraId="767AC0D9" w14:textId="7777777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</w:p>
    <w:p w14:paraId="236A90F3" w14:textId="7777777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</w:p>
    <w:p w14:paraId="36383E03" w14:textId="7777777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</w:p>
    <w:p w14:paraId="3F7FD6A5" w14:textId="4141B162" w:rsidR="008C125B" w:rsidRP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 w:rsidRPr="008C125B">
        <w:rPr>
          <w:rFonts w:ascii="Calibri" w:hAnsi="Calibri" w:cs="Calibri"/>
          <w:b/>
        </w:rPr>
        <w:t xml:space="preserve">4. </w:t>
      </w:r>
      <w:r w:rsidRPr="008C125B">
        <w:rPr>
          <w:rFonts w:ascii="Calibri" w:hAnsi="Calibri" w:cs="Calibri"/>
          <w:b/>
        </w:rPr>
        <w:t>Конструктивные чертежи</w:t>
      </w:r>
    </w:p>
    <w:p w14:paraId="337F1456" w14:textId="160B0307" w:rsidR="0015131D" w:rsidRPr="008C125B" w:rsidRDefault="0015131D" w:rsidP="008C125B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Конструктивные чертежи плана котлована и плана фундамента, проектируемых ТП, РП, РТП, БРП, БКТП, ЦТП, очистных сооружений, КНС, НС, ГРП, ГРПШ, фундаментов опор наземных проектируемых коммуникаций (представляются отдельными листами).</w:t>
      </w:r>
    </w:p>
    <w:p w14:paraId="7FB6F54D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57A1089B" w14:textId="336E1967" w:rsid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 w:rsidRPr="008C125B">
        <w:rPr>
          <w:rFonts w:ascii="Calibri" w:hAnsi="Calibri" w:cs="Calibri"/>
          <w:b/>
        </w:rPr>
        <w:t xml:space="preserve">5. </w:t>
      </w:r>
      <w:r w:rsidRPr="008C125B">
        <w:rPr>
          <w:rFonts w:ascii="Calibri" w:hAnsi="Calibri" w:cs="Calibri"/>
          <w:b/>
        </w:rPr>
        <w:t>Ведомость объемов работ</w:t>
      </w:r>
    </w:p>
    <w:p w14:paraId="21D145C2" w14:textId="22320D7C" w:rsidR="008C125B" w:rsidRPr="008C125B" w:rsidRDefault="008C125B" w:rsidP="008C125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П</w:t>
      </w:r>
      <w:r w:rsidRPr="00006F0B">
        <w:rPr>
          <w:rFonts w:ascii="Calibri" w:hAnsi="Calibri" w:cs="Calibri"/>
        </w:rPr>
        <w:t>рикрепляется в раздел «Иные докумен</w:t>
      </w:r>
      <w:r>
        <w:rPr>
          <w:rFonts w:ascii="Calibri" w:hAnsi="Calibri" w:cs="Calibri"/>
        </w:rPr>
        <w:t xml:space="preserve">ты» интерактивной формы заявки, </w:t>
      </w:r>
      <w:r w:rsidRPr="00006F0B">
        <w:rPr>
          <w:rFonts w:ascii="Calibri" w:hAnsi="Calibri" w:cs="Calibri"/>
        </w:rPr>
        <w:t>возможно в свободной форме.</w:t>
      </w:r>
    </w:p>
    <w:p w14:paraId="7D67DA4E" w14:textId="77777777" w:rsidR="0015131D" w:rsidRPr="008C125B" w:rsidRDefault="0015131D" w:rsidP="0015131D">
      <w:pPr>
        <w:pStyle w:val="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0D1A500F" w14:textId="5687F5A1" w:rsidR="0015131D" w:rsidRPr="008C125B" w:rsidRDefault="008C125B" w:rsidP="008C125B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b/>
        </w:rPr>
      </w:pPr>
      <w:r w:rsidRPr="008C125B">
        <w:rPr>
          <w:rFonts w:ascii="Calibri" w:hAnsi="Calibri" w:cs="Calibri"/>
          <w:b/>
        </w:rPr>
        <w:t xml:space="preserve">6. </w:t>
      </w:r>
      <w:r w:rsidR="0015131D" w:rsidRPr="008C125B">
        <w:rPr>
          <w:rFonts w:ascii="Calibri" w:hAnsi="Calibri" w:cs="Calibri"/>
          <w:b/>
        </w:rPr>
        <w:t>Дополнительные рекомендуемые материалы</w:t>
      </w:r>
    </w:p>
    <w:p w14:paraId="457E179B" w14:textId="7290CE85" w:rsidR="0015131D" w:rsidRPr="008C125B" w:rsidRDefault="0015131D" w:rsidP="0015131D">
      <w:pPr>
        <w:pStyle w:val="2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разгруженная схема перекладываемых кабельных линий в масштабе 1:500, 1:200 с геодезической сеткой, с указанием мест установки муфт (представляется отдельным листом);</w:t>
      </w:r>
    </w:p>
    <w:p w14:paraId="3B27397E" w14:textId="7A515F4E" w:rsidR="00A6174C" w:rsidRPr="008C125B" w:rsidRDefault="0015131D" w:rsidP="009E12F0">
      <w:pPr>
        <w:pStyle w:val="2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8C125B">
        <w:rPr>
          <w:rFonts w:ascii="Calibri" w:hAnsi="Calibri" w:cs="Calibri"/>
          <w:sz w:val="22"/>
          <w:szCs w:val="22"/>
        </w:rPr>
        <w:t>действующие технические условия на присоединение либо договор технологического присоединения.</w:t>
      </w:r>
    </w:p>
    <w:sectPr w:rsidR="00A6174C" w:rsidRPr="008C125B" w:rsidSect="008B78C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636C" w14:textId="77777777" w:rsidR="00E02E6A" w:rsidRDefault="00E02E6A" w:rsidP="008B78C7">
      <w:pPr>
        <w:spacing w:after="0" w:line="240" w:lineRule="auto"/>
      </w:pPr>
      <w:r>
        <w:separator/>
      </w:r>
    </w:p>
  </w:endnote>
  <w:endnote w:type="continuationSeparator" w:id="0">
    <w:p w14:paraId="7B3A2905" w14:textId="77777777" w:rsidR="00E02E6A" w:rsidRDefault="00E02E6A" w:rsidP="008B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68903"/>
      <w:docPartObj>
        <w:docPartGallery w:val="Page Numbers (Bottom of Page)"/>
        <w:docPartUnique/>
      </w:docPartObj>
    </w:sdtPr>
    <w:sdtContent>
      <w:p w14:paraId="51764FF1" w14:textId="4A2563BE" w:rsidR="008B78C7" w:rsidRDefault="008B78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B5723E" w14:textId="77777777" w:rsidR="008B78C7" w:rsidRDefault="008B78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B9B0" w14:textId="77777777" w:rsidR="00E02E6A" w:rsidRDefault="00E02E6A" w:rsidP="008B78C7">
      <w:pPr>
        <w:spacing w:after="0" w:line="240" w:lineRule="auto"/>
      </w:pPr>
      <w:r>
        <w:separator/>
      </w:r>
    </w:p>
  </w:footnote>
  <w:footnote w:type="continuationSeparator" w:id="0">
    <w:p w14:paraId="259BC04E" w14:textId="77777777" w:rsidR="00E02E6A" w:rsidRDefault="00E02E6A" w:rsidP="008B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20"/>
    <w:multiLevelType w:val="hybridMultilevel"/>
    <w:tmpl w:val="2322248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B92"/>
    <w:multiLevelType w:val="hybridMultilevel"/>
    <w:tmpl w:val="2DB62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E2033"/>
    <w:multiLevelType w:val="hybridMultilevel"/>
    <w:tmpl w:val="126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CE2"/>
    <w:multiLevelType w:val="hybridMultilevel"/>
    <w:tmpl w:val="3CE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FB3"/>
    <w:multiLevelType w:val="hybridMultilevel"/>
    <w:tmpl w:val="438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D49"/>
    <w:multiLevelType w:val="hybridMultilevel"/>
    <w:tmpl w:val="270C607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3D41"/>
    <w:multiLevelType w:val="hybridMultilevel"/>
    <w:tmpl w:val="5956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273"/>
    <w:multiLevelType w:val="hybridMultilevel"/>
    <w:tmpl w:val="EE6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3D26"/>
    <w:multiLevelType w:val="hybridMultilevel"/>
    <w:tmpl w:val="27F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431C"/>
    <w:multiLevelType w:val="hybridMultilevel"/>
    <w:tmpl w:val="9BB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C78"/>
    <w:multiLevelType w:val="hybridMultilevel"/>
    <w:tmpl w:val="FF8E70F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58AE"/>
    <w:multiLevelType w:val="hybridMultilevel"/>
    <w:tmpl w:val="96E8D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08F7"/>
    <w:multiLevelType w:val="hybridMultilevel"/>
    <w:tmpl w:val="1BB8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51B3"/>
    <w:multiLevelType w:val="hybridMultilevel"/>
    <w:tmpl w:val="2BF6D05A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0B9C"/>
    <w:multiLevelType w:val="hybridMultilevel"/>
    <w:tmpl w:val="268A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37E0B"/>
    <w:multiLevelType w:val="hybridMultilevel"/>
    <w:tmpl w:val="EE6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2AAC"/>
    <w:multiLevelType w:val="hybridMultilevel"/>
    <w:tmpl w:val="643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4273F"/>
    <w:multiLevelType w:val="hybridMultilevel"/>
    <w:tmpl w:val="A8F2C7B8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7BE"/>
    <w:multiLevelType w:val="hybridMultilevel"/>
    <w:tmpl w:val="FC16823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26CE9"/>
    <w:multiLevelType w:val="hybridMultilevel"/>
    <w:tmpl w:val="EE6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48AC"/>
    <w:multiLevelType w:val="hybridMultilevel"/>
    <w:tmpl w:val="3F30913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4232"/>
    <w:multiLevelType w:val="hybridMultilevel"/>
    <w:tmpl w:val="EE6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3C92"/>
    <w:multiLevelType w:val="hybridMultilevel"/>
    <w:tmpl w:val="D38C569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256A7"/>
    <w:multiLevelType w:val="hybridMultilevel"/>
    <w:tmpl w:val="3E20B6B0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6CF7"/>
    <w:multiLevelType w:val="hybridMultilevel"/>
    <w:tmpl w:val="FD94C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7"/>
  </w:num>
  <w:num w:numId="10">
    <w:abstractNumId w:val="10"/>
  </w:num>
  <w:num w:numId="11">
    <w:abstractNumId w:val="3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6"/>
  </w:num>
  <w:num w:numId="17">
    <w:abstractNumId w:val="11"/>
  </w:num>
  <w:num w:numId="18">
    <w:abstractNumId w:val="12"/>
  </w:num>
  <w:num w:numId="19">
    <w:abstractNumId w:val="24"/>
  </w:num>
  <w:num w:numId="20">
    <w:abstractNumId w:val="1"/>
  </w:num>
  <w:num w:numId="21">
    <w:abstractNumId w:val="19"/>
  </w:num>
  <w:num w:numId="22">
    <w:abstractNumId w:val="23"/>
  </w:num>
  <w:num w:numId="23">
    <w:abstractNumId w:val="7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5"/>
    <w:rsid w:val="001308C5"/>
    <w:rsid w:val="0015131D"/>
    <w:rsid w:val="001805FE"/>
    <w:rsid w:val="00244AE2"/>
    <w:rsid w:val="00813D2D"/>
    <w:rsid w:val="008B78C7"/>
    <w:rsid w:val="008C125B"/>
    <w:rsid w:val="008D75F0"/>
    <w:rsid w:val="008E0374"/>
    <w:rsid w:val="009E12F0"/>
    <w:rsid w:val="00A6174C"/>
    <w:rsid w:val="00B926BE"/>
    <w:rsid w:val="00C46145"/>
    <w:rsid w:val="00E02E6A"/>
    <w:rsid w:val="00F8627B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B0129"/>
  <w15:chartTrackingRefBased/>
  <w15:docId w15:val="{38933E9C-17EE-4226-BC5E-F7280769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45"/>
    <w:pPr>
      <w:ind w:left="720"/>
      <w:contextualSpacing/>
    </w:pPr>
  </w:style>
  <w:style w:type="character" w:styleId="a4">
    <w:name w:val="Strong"/>
    <w:basedOn w:val="a0"/>
    <w:uiPriority w:val="22"/>
    <w:qFormat/>
    <w:rsid w:val="009E12F0"/>
    <w:rPr>
      <w:b/>
      <w:bCs/>
    </w:rPr>
  </w:style>
  <w:style w:type="paragraph" w:styleId="2">
    <w:name w:val="Body Text Indent 2"/>
    <w:basedOn w:val="a"/>
    <w:link w:val="20"/>
    <w:rsid w:val="001805F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0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1805FE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180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0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5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8C7"/>
  </w:style>
  <w:style w:type="paragraph" w:styleId="ad">
    <w:name w:val="footer"/>
    <w:basedOn w:val="a"/>
    <w:link w:val="ae"/>
    <w:uiPriority w:val="99"/>
    <w:unhideWhenUsed/>
    <w:rsid w:val="008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03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16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Е.В.</dc:creator>
  <cp:keywords/>
  <dc:description/>
  <cp:lastModifiedBy>Петрова Е.В.</cp:lastModifiedBy>
  <cp:revision>2</cp:revision>
  <cp:lastPrinted>2018-10-30T07:01:00Z</cp:lastPrinted>
  <dcterms:created xsi:type="dcterms:W3CDTF">2018-11-12T07:43:00Z</dcterms:created>
  <dcterms:modified xsi:type="dcterms:W3CDTF">2018-11-12T07:43:00Z</dcterms:modified>
</cp:coreProperties>
</file>